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afterAutospacing="0"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坪山区碧岭街道城中村生活垃圾集中分类投放点升级改造项目自行采购招标公告</w:t>
      </w:r>
    </w:p>
    <w:p>
      <w:pPr>
        <w:pStyle w:val="2"/>
        <w:rPr>
          <w:rFonts w:hint="eastAsia"/>
          <w:lang w:val="en-US" w:eastAsia="zh-CN"/>
        </w:rPr>
      </w:pPr>
    </w:p>
    <w:p>
      <w:pPr>
        <w:pStyle w:val="4"/>
        <w:pageBreakBefore w:val="0"/>
        <w:kinsoku/>
        <w:wordWrap/>
        <w:overflowPunct/>
        <w:topLinePunct w:val="0"/>
        <w:autoSpaceDE/>
        <w:autoSpaceDN/>
        <w:bidi w:val="0"/>
        <w:adjustRightInd/>
        <w:snapToGrid/>
        <w:spacing w:before="0" w:beforeAutospacing="0" w:after="0" w:afterAutospacing="0" w:line="560" w:lineRule="exact"/>
        <w:textAlignment w:val="auto"/>
        <w:rPr>
          <w:rFonts w:ascii="黑体" w:hAnsi="黑体" w:cs="宋体"/>
          <w:b w:val="0"/>
          <w:sz w:val="32"/>
          <w:szCs w:val="32"/>
        </w:rPr>
      </w:pPr>
      <w:bookmarkStart w:id="0" w:name="_Toc35393790"/>
      <w:bookmarkStart w:id="1" w:name="_Toc28359002"/>
      <w:bookmarkStart w:id="2" w:name="_Toc35393621"/>
      <w:bookmarkStart w:id="3" w:name="_Toc28359079"/>
      <w:bookmarkStart w:id="4" w:name="_Hlk24379207"/>
      <w:r>
        <w:rPr>
          <w:rFonts w:hint="eastAsia" w:ascii="黑体" w:hAnsi="黑体" w:cs="宋体"/>
          <w:b w:val="0"/>
          <w:sz w:val="32"/>
          <w:szCs w:val="32"/>
        </w:rPr>
        <w:t>一、项目基本情况</w:t>
      </w:r>
      <w:bookmarkEnd w:id="0"/>
      <w:bookmarkEnd w:id="1"/>
      <w:bookmarkEnd w:id="2"/>
      <w:bookmarkEnd w:id="3"/>
    </w:p>
    <w:p>
      <w:pPr>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sz w:val="32"/>
          <w:szCs w:val="32"/>
        </w:rPr>
        <w:t>1.项目编号：</w:t>
      </w:r>
      <w:r>
        <w:rPr>
          <w:rFonts w:hint="eastAsia" w:ascii="仿宋_GB2312" w:hAnsi="仿宋_GB2312" w:eastAsia="仿宋_GB2312" w:cs="仿宋_GB2312"/>
          <w:kern w:val="0"/>
          <w:sz w:val="32"/>
          <w:szCs w:val="32"/>
          <w:u w:val="single"/>
          <w:lang w:val="en-US" w:eastAsia="zh-CN"/>
        </w:rPr>
        <w:t>PSBL2021024</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2.项目名称：</w:t>
      </w:r>
      <w:r>
        <w:rPr>
          <w:rFonts w:hint="eastAsia" w:ascii="仿宋_GB2312" w:hAnsi="仿宋_GB2312" w:eastAsia="仿宋_GB2312" w:cs="仿宋_GB2312"/>
          <w:sz w:val="32"/>
          <w:szCs w:val="32"/>
          <w:lang w:val="en-US" w:eastAsia="zh-CN"/>
        </w:rPr>
        <w:t>碧岭街道城中村生活垃圾集中分类投放点升级改造</w:t>
      </w:r>
    </w:p>
    <w:bookmarkEnd w:id="4"/>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3.预算金额：</w:t>
      </w:r>
      <w:r>
        <w:rPr>
          <w:rFonts w:hint="eastAsia" w:ascii="仿宋_GB2312" w:hAnsi="仿宋_GB2312" w:eastAsia="仿宋_GB2312" w:cs="仿宋_GB2312"/>
          <w:sz w:val="32"/>
          <w:szCs w:val="32"/>
          <w:lang w:val="en-US" w:eastAsia="zh-CN"/>
        </w:rPr>
        <w:t>86.4万元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2"/>
        <w:gridCol w:w="646"/>
        <w:gridCol w:w="767"/>
        <w:gridCol w:w="2041"/>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410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项目名称</w:t>
            </w:r>
          </w:p>
        </w:tc>
        <w:tc>
          <w:tcPr>
            <w:tcW w:w="64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数量</w:t>
            </w:r>
          </w:p>
        </w:tc>
        <w:tc>
          <w:tcPr>
            <w:tcW w:w="767"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单位</w:t>
            </w:r>
          </w:p>
        </w:tc>
        <w:tc>
          <w:tcPr>
            <w:tcW w:w="2041"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简要技术需求</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（服务需求）</w:t>
            </w:r>
          </w:p>
        </w:tc>
        <w:tc>
          <w:tcPr>
            <w:tcW w:w="96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u w:val="single"/>
              </w:rPr>
            </w:pPr>
            <w:r>
              <w:rPr>
                <w:rFonts w:hint="eastAsia" w:ascii="仿宋_GB2312" w:hAnsi="仿宋_GB2312" w:eastAsia="仿宋_GB2312" w:cs="仿宋_GB2312"/>
                <w:sz w:val="32"/>
                <w:szCs w:val="32"/>
                <w:lang w:val="en-US" w:eastAsia="zh-CN"/>
              </w:rPr>
              <w:t>碧岭街道城中村生活垃圾集中分类投放点升级改造</w:t>
            </w:r>
          </w:p>
        </w:tc>
        <w:tc>
          <w:tcPr>
            <w:tcW w:w="64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u w:val="single"/>
                <w:lang w:val="en-US" w:eastAsia="zh-CN"/>
              </w:rPr>
              <w:t>1</w:t>
            </w:r>
          </w:p>
        </w:tc>
        <w:tc>
          <w:tcPr>
            <w:tcW w:w="767"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u w:val="none"/>
                <w:lang w:val="en-US" w:eastAsia="zh-CN"/>
              </w:rPr>
              <w:t>项</w:t>
            </w:r>
          </w:p>
        </w:tc>
        <w:tc>
          <w:tcPr>
            <w:tcW w:w="2041"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none"/>
              </w:rPr>
              <w:t>详见</w:t>
            </w:r>
            <w:r>
              <w:rPr>
                <w:rFonts w:hint="eastAsia" w:ascii="仿宋_GB2312" w:hAnsi="仿宋_GB2312" w:eastAsia="仿宋_GB2312" w:cs="仿宋_GB2312"/>
                <w:kern w:val="0"/>
                <w:sz w:val="32"/>
                <w:szCs w:val="32"/>
                <w:u w:val="none"/>
                <w:lang w:val="en-US" w:eastAsia="zh-CN"/>
              </w:rPr>
              <w:t>采购需求</w:t>
            </w:r>
          </w:p>
        </w:tc>
        <w:tc>
          <w:tcPr>
            <w:tcW w:w="96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u w:val="single"/>
              </w:rPr>
            </w:pPr>
          </w:p>
        </w:tc>
      </w:tr>
    </w:tbl>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.合同履行期限：详见</w:t>
      </w:r>
      <w:r>
        <w:rPr>
          <w:rFonts w:hint="eastAsia" w:ascii="仿宋_GB2312" w:hAnsi="仿宋_GB2312" w:eastAsia="仿宋_GB2312" w:cs="仿宋_GB2312"/>
          <w:sz w:val="32"/>
          <w:szCs w:val="32"/>
          <w:lang w:val="en-US" w:eastAsia="zh-CN"/>
        </w:rPr>
        <w:t>采购需求</w:t>
      </w:r>
    </w:p>
    <w:p>
      <w:pPr>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接受联合体投标</w:t>
      </w:r>
      <w:r>
        <w:rPr>
          <w:rFonts w:hint="eastAsia" w:ascii="仿宋_GB2312" w:hAnsi="仿宋_GB2312" w:eastAsia="仿宋_GB2312" w:cs="仿宋_GB2312"/>
          <w:sz w:val="32"/>
          <w:szCs w:val="32"/>
          <w:lang w:eastAsia="zh-CN"/>
        </w:rPr>
        <w:t>，不允许分包或转包。</w:t>
      </w:r>
    </w:p>
    <w:p>
      <w:pPr>
        <w:pStyle w:val="4"/>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cs="宋体"/>
          <w:b w:val="0"/>
          <w:sz w:val="32"/>
          <w:szCs w:val="32"/>
        </w:rPr>
      </w:pPr>
      <w:bookmarkStart w:id="5" w:name="_Toc35393791"/>
      <w:bookmarkStart w:id="6" w:name="_Toc35393622"/>
      <w:bookmarkStart w:id="7" w:name="_Toc28359003"/>
      <w:bookmarkStart w:id="8" w:name="_Toc28359080"/>
      <w:r>
        <w:rPr>
          <w:rFonts w:hint="eastAsia" w:ascii="黑体" w:hAnsi="黑体" w:cs="宋体"/>
          <w:b w:val="0"/>
          <w:sz w:val="32"/>
          <w:szCs w:val="32"/>
        </w:rPr>
        <w:t>二、</w:t>
      </w:r>
      <w:r>
        <w:rPr>
          <w:rFonts w:hint="eastAsia" w:ascii="黑体" w:hAnsi="黑体" w:cs="宋体"/>
          <w:b w:val="0"/>
          <w:sz w:val="32"/>
          <w:szCs w:val="32"/>
          <w:lang w:val="en-US" w:eastAsia="zh-CN"/>
        </w:rPr>
        <w:t>投标</w:t>
      </w:r>
      <w:r>
        <w:rPr>
          <w:rFonts w:hint="eastAsia" w:ascii="黑体" w:hAnsi="黑体" w:cs="宋体"/>
          <w:b w:val="0"/>
          <w:sz w:val="32"/>
          <w:szCs w:val="32"/>
        </w:rPr>
        <w:t>人的资格要求</w:t>
      </w:r>
      <w:r>
        <w:rPr>
          <w:rFonts w:hint="eastAsia" w:ascii="黑体" w:hAnsi="黑体" w:cs="宋体"/>
          <w:b w:val="0"/>
          <w:sz w:val="32"/>
          <w:szCs w:val="32"/>
          <w:lang w:eastAsia="zh-CN"/>
        </w:rPr>
        <w:t>（</w:t>
      </w:r>
      <w:r>
        <w:rPr>
          <w:rFonts w:hint="eastAsia" w:ascii="黑体" w:hAnsi="黑体" w:cs="宋体"/>
          <w:b w:val="0"/>
          <w:sz w:val="32"/>
          <w:szCs w:val="32"/>
          <w:lang w:val="en-US" w:eastAsia="zh-CN"/>
        </w:rPr>
        <w:t>根据项目情况要求</w:t>
      </w:r>
      <w:r>
        <w:rPr>
          <w:rFonts w:hint="eastAsia" w:ascii="黑体" w:hAnsi="黑体" w:cs="宋体"/>
          <w:b w:val="0"/>
          <w:sz w:val="32"/>
          <w:szCs w:val="32"/>
          <w:lang w:eastAsia="zh-CN"/>
        </w:rPr>
        <w:t>）</w:t>
      </w:r>
      <w:bookmarkEnd w:id="5"/>
      <w:bookmarkEnd w:id="6"/>
      <w:bookmarkEnd w:id="7"/>
      <w:bookmarkEnd w:id="8"/>
    </w:p>
    <w:p>
      <w:pPr>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1.满足《中华人民共和国政府采购法》第二十二条规定（要求投标人提供营业执照或事业单位法人证等法人证明扫描件以及《政府采购投标及履约承诺函》，原件备查）；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9" w:name="_Toc28359004"/>
      <w:bookmarkStart w:id="10" w:name="_Toc28359081"/>
      <w:r>
        <w:rPr>
          <w:rFonts w:hint="eastAsia" w:ascii="仿宋_GB2312" w:hAnsi="仿宋_GB2312" w:eastAsia="仿宋_GB2312" w:cs="仿宋_GB2312"/>
          <w:sz w:val="32"/>
          <w:szCs w:val="32"/>
        </w:rPr>
        <w:t>2.落实政府采购政策需满足的资格要求：详见</w:t>
      </w:r>
      <w:r>
        <w:rPr>
          <w:rFonts w:hint="eastAsia" w:ascii="仿宋_GB2312" w:hAnsi="仿宋_GB2312" w:eastAsia="仿宋_GB2312" w:cs="仿宋_GB2312"/>
          <w:sz w:val="32"/>
          <w:szCs w:val="32"/>
          <w:lang w:val="en-US" w:eastAsia="zh-CN"/>
        </w:rPr>
        <w:t>采购需求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w:t>
      </w:r>
      <w:r>
        <w:rPr>
          <w:rFonts w:hint="eastAsia" w:ascii="仿宋_GB2312" w:hAnsi="仿宋_GB2312" w:eastAsia="仿宋_GB2312" w:cs="仿宋_GB2312"/>
          <w:i w:val="0"/>
          <w:iCs/>
          <w:sz w:val="32"/>
          <w:szCs w:val="32"/>
          <w:u w:val="single"/>
        </w:rPr>
        <w:t>如属于专门面向中小企业采购的项目,供应商应为中小微企业、监狱企业、残疾人福利性单位</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3.本项目的特定资格要求：详见</w:t>
      </w:r>
      <w:r>
        <w:rPr>
          <w:rFonts w:hint="eastAsia" w:ascii="仿宋_GB2312" w:hAnsi="仿宋_GB2312" w:eastAsia="仿宋_GB2312" w:cs="仿宋_GB2312"/>
          <w:sz w:val="32"/>
          <w:szCs w:val="32"/>
          <w:lang w:val="en-US" w:eastAsia="zh-CN"/>
        </w:rPr>
        <w:t>采购需求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w:t>
      </w:r>
      <w:r>
        <w:rPr>
          <w:rFonts w:hint="eastAsia" w:ascii="仿宋_GB2312" w:hAnsi="仿宋_GB2312" w:eastAsia="仿宋_GB2312" w:cs="仿宋_GB2312"/>
          <w:i w:val="0"/>
          <w:iCs/>
          <w:sz w:val="32"/>
          <w:szCs w:val="32"/>
          <w:u w:val="single"/>
        </w:rPr>
        <w:t>如属于特定行业项目,供应商应当具备特定行业法定准入要求。)</w:t>
      </w:r>
    </w:p>
    <w:p>
      <w:pPr>
        <w:pStyle w:val="4"/>
        <w:pageBreakBefore w:val="0"/>
        <w:numPr>
          <w:ilvl w:val="0"/>
          <w:numId w:val="1"/>
        </w:numPr>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sz w:val="32"/>
          <w:szCs w:val="32"/>
          <w:u w:val="none"/>
        </w:rPr>
      </w:pPr>
      <w:bookmarkStart w:id="11" w:name="_Toc35393623"/>
      <w:bookmarkStart w:id="12" w:name="_Toc35393792"/>
      <w:r>
        <w:rPr>
          <w:rFonts w:hint="eastAsia" w:ascii="黑体" w:hAnsi="黑体" w:eastAsia="黑体" w:cs="黑体"/>
          <w:b w:val="0"/>
          <w:sz w:val="32"/>
          <w:szCs w:val="32"/>
        </w:rPr>
        <w:t>获取招标文</w:t>
      </w:r>
      <w:r>
        <w:rPr>
          <w:rFonts w:hint="eastAsia" w:ascii="黑体" w:hAnsi="黑体" w:eastAsia="黑体" w:cs="黑体"/>
          <w:b w:val="0"/>
          <w:bCs/>
          <w:sz w:val="32"/>
          <w:szCs w:val="32"/>
        </w:rPr>
        <w:t>件</w:t>
      </w:r>
      <w:bookmarkEnd w:id="9"/>
      <w:bookmarkEnd w:id="10"/>
      <w:bookmarkEnd w:id="11"/>
      <w:bookmarkEnd w:id="12"/>
      <w:r>
        <w:rPr>
          <w:rFonts w:hint="eastAsia" w:ascii="黑体" w:hAnsi="黑体" w:eastAsia="黑体" w:cs="黑体"/>
          <w:b w:val="0"/>
          <w:bCs/>
          <w:sz w:val="32"/>
          <w:szCs w:val="32"/>
        </w:rPr>
        <w:t>时间</w:t>
      </w:r>
    </w:p>
    <w:p>
      <w:pPr>
        <w:pStyle w:val="4"/>
        <w:pageBreakBefore w:val="0"/>
        <w:numPr>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single"/>
          <w:lang w:val="en-US" w:eastAsia="zh-CN"/>
        </w:rPr>
        <w:t>2021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10</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14</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u w:val="single"/>
          <w:lang w:val="en-US" w:eastAsia="zh-CN"/>
        </w:rPr>
        <w:t xml:space="preserve"> 09</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30 </w:t>
      </w:r>
      <w:r>
        <w:rPr>
          <w:rFonts w:hint="eastAsia" w:ascii="仿宋_GB2312" w:hAnsi="仿宋_GB2312" w:eastAsia="仿宋_GB2312" w:cs="仿宋_GB2312"/>
          <w:b w:val="0"/>
          <w:bCs w:val="0"/>
          <w:sz w:val="32"/>
          <w:szCs w:val="32"/>
        </w:rPr>
        <w:t>至</w:t>
      </w:r>
      <w:r>
        <w:rPr>
          <w:rFonts w:hint="eastAsia" w:ascii="仿宋_GB2312" w:hAnsi="仿宋_GB2312" w:eastAsia="仿宋_GB2312" w:cs="仿宋_GB2312"/>
          <w:b w:val="0"/>
          <w:bCs w:val="0"/>
          <w:sz w:val="32"/>
          <w:szCs w:val="32"/>
          <w:u w:val="single"/>
          <w:lang w:val="en-US" w:eastAsia="zh-CN"/>
        </w:rPr>
        <w:t>2021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10</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20</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u w:val="single"/>
          <w:lang w:val="en-US" w:eastAsia="zh-CN"/>
        </w:rPr>
        <w:t>17</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u w:val="single"/>
          <w:lang w:val="en-US" w:eastAsia="zh-CN"/>
        </w:rPr>
        <w:t xml:space="preserve"> 30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u w:val="none"/>
        </w:rPr>
        <w:t>（北京时间</w:t>
      </w:r>
      <w:r>
        <w:rPr>
          <w:rFonts w:hint="eastAsia" w:ascii="仿宋_GB2312" w:hAnsi="仿宋_GB2312" w:eastAsia="仿宋_GB2312" w:cs="仿宋_GB2312"/>
          <w:b w:val="0"/>
          <w:bCs w:val="0"/>
          <w:sz w:val="32"/>
          <w:szCs w:val="32"/>
          <w:u w:val="none"/>
          <w:lang w:eastAsia="zh-CN"/>
        </w:rPr>
        <w:t>）。</w:t>
      </w:r>
    </w:p>
    <w:p>
      <w:pPr>
        <w:pageBreakBefore w:val="0"/>
        <w:kinsoku/>
        <w:wordWrap/>
        <w:overflowPunct/>
        <w:topLinePunct w:val="0"/>
        <w:autoSpaceDE/>
        <w:autoSpaceDN/>
        <w:bidi w:val="0"/>
        <w:adjustRightInd/>
        <w:snapToGrid/>
        <w:spacing w:beforeAutospacing="0" w:afterAutospacing="0" w:line="56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w:t>
      </w:r>
      <w:r>
        <w:rPr>
          <w:rFonts w:hint="eastAsia" w:ascii="仿宋_GB2312" w:hAnsi="仿宋_GB2312" w:eastAsia="仿宋_GB2312" w:cs="仿宋_GB2312"/>
          <w:sz w:val="32"/>
          <w:szCs w:val="32"/>
          <w:lang w:val="en-US" w:eastAsia="zh-CN"/>
        </w:rPr>
        <w:t>符合资质的</w:t>
      </w:r>
      <w:r>
        <w:rPr>
          <w:rFonts w:hint="eastAsia" w:ascii="仿宋_GB2312" w:hAnsi="仿宋_GB2312" w:eastAsia="仿宋_GB2312" w:cs="仿宋_GB2312"/>
          <w:sz w:val="32"/>
          <w:szCs w:val="32"/>
        </w:rPr>
        <w:t xml:space="preserve">供应商，可于 </w:t>
      </w:r>
      <w:r>
        <w:rPr>
          <w:rFonts w:hint="eastAsia" w:ascii="仿宋_GB2312" w:hAnsi="仿宋_GB2312" w:eastAsia="仿宋_GB2312" w:cs="仿宋_GB2312"/>
          <w:sz w:val="32"/>
          <w:szCs w:val="32"/>
          <w:u w:val="single"/>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14</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lang w:val="en-US" w:eastAsia="zh-CN"/>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30</w:t>
      </w:r>
      <w:r>
        <w:rPr>
          <w:rFonts w:hint="eastAsia" w:ascii="仿宋_GB2312" w:hAnsi="仿宋_GB2312" w:eastAsia="仿宋_GB2312" w:cs="仿宋_GB2312"/>
          <w:sz w:val="32"/>
          <w:szCs w:val="32"/>
        </w:rPr>
        <w:t xml:space="preserve">至 </w:t>
      </w:r>
      <w:r>
        <w:rPr>
          <w:rFonts w:hint="eastAsia" w:ascii="仿宋_GB2312" w:hAnsi="仿宋_GB2312" w:eastAsia="仿宋_GB2312" w:cs="仿宋_GB2312"/>
          <w:sz w:val="32"/>
          <w:szCs w:val="32"/>
          <w:u w:val="single"/>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20</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30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（北京时间）</w:t>
      </w:r>
      <w:r>
        <w:rPr>
          <w:rFonts w:hint="eastAsia" w:ascii="仿宋_GB2312" w:hAnsi="仿宋_GB2312" w:eastAsia="仿宋_GB2312" w:cs="仿宋_GB2312"/>
          <w:sz w:val="32"/>
          <w:szCs w:val="32"/>
        </w:rPr>
        <w:t>期间登录</w:t>
      </w:r>
      <w:r>
        <w:rPr>
          <w:rFonts w:hint="eastAsia" w:ascii="仿宋_GB2312" w:hAnsi="仿宋_GB2312" w:eastAsia="仿宋_GB2312" w:cs="仿宋_GB2312"/>
          <w:sz w:val="32"/>
          <w:szCs w:val="32"/>
          <w:lang w:val="en-US" w:eastAsia="zh-CN"/>
        </w:rPr>
        <w:t>坪山区人民政府</w:t>
      </w:r>
      <w:r>
        <w:rPr>
          <w:rFonts w:hint="eastAsia" w:ascii="仿宋_GB2312" w:hAnsi="仿宋_GB2312" w:eastAsia="仿宋_GB2312" w:cs="仿宋_GB2312"/>
          <w:sz w:val="32"/>
          <w:szCs w:val="32"/>
        </w:rPr>
        <w:t>网站（http://www.szpsq.gov.cn/cn/）下载本项目的采购文件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或线下获取</w:t>
      </w:r>
      <w:r>
        <w:rPr>
          <w:rFonts w:hint="eastAsia" w:ascii="仿宋_GB2312" w:hAnsi="仿宋_GB2312" w:eastAsia="仿宋_GB2312" w:cs="仿宋_GB2312"/>
          <w:sz w:val="32"/>
          <w:szCs w:val="32"/>
        </w:rPr>
        <w:t>。</w:t>
      </w:r>
    </w:p>
    <w:p>
      <w:pPr>
        <w:pStyle w:val="4"/>
        <w:pageBreakBefore w:val="0"/>
        <w:kinsoku/>
        <w:wordWrap/>
        <w:overflowPunct/>
        <w:topLinePunct w:val="0"/>
        <w:autoSpaceDE/>
        <w:autoSpaceDN/>
        <w:bidi w:val="0"/>
        <w:adjustRightInd/>
        <w:snapToGrid/>
        <w:spacing w:before="0" w:beforeAutospacing="0" w:after="0" w:afterAutospacing="0" w:line="560" w:lineRule="exact"/>
        <w:textAlignment w:val="auto"/>
        <w:rPr>
          <w:rFonts w:ascii="黑体" w:hAnsi="黑体" w:cs="宋体"/>
          <w:b w:val="0"/>
          <w:sz w:val="32"/>
          <w:szCs w:val="32"/>
        </w:rPr>
      </w:pPr>
      <w:bookmarkStart w:id="13" w:name="_Toc28359005"/>
      <w:bookmarkStart w:id="14" w:name="_Toc28359082"/>
      <w:bookmarkStart w:id="15" w:name="_Toc35393793"/>
      <w:bookmarkStart w:id="16" w:name="_Toc35393624"/>
      <w:r>
        <w:rPr>
          <w:rFonts w:hint="eastAsia" w:ascii="黑体" w:hAnsi="黑体" w:cs="宋体"/>
          <w:b w:val="0"/>
          <w:sz w:val="32"/>
          <w:szCs w:val="32"/>
        </w:rPr>
        <w:t>四、提交投标文件</w:t>
      </w:r>
      <w:bookmarkEnd w:id="13"/>
      <w:bookmarkEnd w:id="14"/>
      <w:r>
        <w:rPr>
          <w:rFonts w:hint="eastAsia" w:ascii="黑体" w:hAnsi="黑体" w:cs="宋体"/>
          <w:b w:val="0"/>
          <w:sz w:val="32"/>
          <w:szCs w:val="32"/>
        </w:rPr>
        <w:t>截止时间、开标时间和地点</w:t>
      </w:r>
      <w:bookmarkEnd w:id="15"/>
      <w:bookmarkEnd w:id="16"/>
    </w:p>
    <w:p>
      <w:pPr>
        <w:pageBreakBefore w:val="0"/>
        <w:kinsoku/>
        <w:wordWrap/>
        <w:overflowPunct/>
        <w:topLinePunct w:val="0"/>
        <w:autoSpaceDE/>
        <w:autoSpaceDN/>
        <w:bidi w:val="0"/>
        <w:adjustRightInd/>
        <w:snapToGrid/>
        <w:spacing w:beforeAutospacing="0" w:line="560" w:lineRule="exact"/>
        <w:ind w:firstLine="56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kern w:val="0"/>
          <w:sz w:val="32"/>
          <w:szCs w:val="32"/>
          <w:lang w:val="en-US" w:eastAsia="zh-CN"/>
        </w:rPr>
        <w:t>截止</w:t>
      </w:r>
      <w:r>
        <w:rPr>
          <w:rFonts w:hint="eastAsia" w:ascii="仿宋_GB2312" w:hAnsi="仿宋_GB2312" w:eastAsia="仿宋_GB2312" w:cs="仿宋_GB2312"/>
          <w:kern w:val="0"/>
          <w:sz w:val="32"/>
          <w:szCs w:val="32"/>
        </w:rPr>
        <w:t>时间：</w:t>
      </w:r>
      <w:r>
        <w:rPr>
          <w:rFonts w:hint="eastAsia" w:ascii="仿宋_GB2312" w:hAnsi="仿宋_GB2312" w:eastAsia="仿宋_GB2312" w:cs="仿宋_GB2312"/>
          <w:sz w:val="32"/>
          <w:szCs w:val="32"/>
          <w:u w:val="single"/>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20</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30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（北京时间）</w:t>
      </w:r>
    </w:p>
    <w:p>
      <w:pPr>
        <w:pageBreakBefore w:val="0"/>
        <w:kinsoku/>
        <w:wordWrap/>
        <w:overflowPunct/>
        <w:topLinePunct w:val="0"/>
        <w:autoSpaceDE/>
        <w:autoSpaceDN/>
        <w:bidi w:val="0"/>
        <w:adjustRightInd/>
        <w:snapToGrid/>
        <w:spacing w:beforeAutospacing="0" w:line="560" w:lineRule="exact"/>
        <w:ind w:firstLine="5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开标时间</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u w:val="single"/>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21</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lang w:val="en-US" w:eastAsia="zh-CN"/>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30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rPr>
        <w:t>（北京时间）</w:t>
      </w:r>
    </w:p>
    <w:p>
      <w:pPr>
        <w:pageBreakBefore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kern w:val="0"/>
          <w:sz w:val="32"/>
          <w:szCs w:val="32"/>
          <w:lang w:val="en-US" w:eastAsia="zh-CN"/>
        </w:rPr>
      </w:pPr>
      <w:r>
        <w:rPr>
          <w:rStyle w:val="6"/>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7"/>
          <w:kern w:val="0"/>
          <w:sz w:val="32"/>
          <w:szCs w:val="32"/>
          <w:lang w:val="en-US" w:eastAsia="zh-CN"/>
        </w:rPr>
        <w:t>提交投标文件地点</w:t>
      </w:r>
      <w:r>
        <w:rPr>
          <w:rFonts w:hint="eastAsia" w:ascii="仿宋_GB2312" w:hAnsi="仿宋_GB2312" w:eastAsia="仿宋_GB2312" w:cs="仿宋_GB2312"/>
          <w:spacing w:val="-17"/>
          <w:kern w:val="0"/>
          <w:sz w:val="32"/>
          <w:szCs w:val="32"/>
        </w:rPr>
        <w:t>：</w:t>
      </w:r>
      <w:r>
        <w:rPr>
          <w:rFonts w:hint="eastAsia" w:ascii="仿宋_GB2312" w:hAnsi="仿宋_GB2312" w:eastAsia="仿宋_GB2312" w:cs="仿宋_GB2312"/>
          <w:spacing w:val="-17"/>
          <w:sz w:val="32"/>
          <w:szCs w:val="32"/>
          <w:u w:val="single"/>
          <w:lang w:val="en-US" w:eastAsia="zh-CN"/>
        </w:rPr>
        <w:t>坪山区碧岭街道汤坑社区坪山首座6楼602B室</w:t>
      </w:r>
    </w:p>
    <w:p>
      <w:pPr>
        <w:pStyle w:val="4"/>
        <w:pageBreakBefore w:val="0"/>
        <w:kinsoku/>
        <w:wordWrap/>
        <w:overflowPunct/>
        <w:topLinePunct w:val="0"/>
        <w:autoSpaceDE/>
        <w:autoSpaceDN/>
        <w:bidi w:val="0"/>
        <w:adjustRightInd/>
        <w:snapToGrid/>
        <w:spacing w:before="0" w:beforeAutospacing="0" w:after="0" w:afterAutospacing="0" w:line="560" w:lineRule="exact"/>
        <w:textAlignment w:val="auto"/>
        <w:rPr>
          <w:rFonts w:ascii="黑体" w:hAnsi="黑体" w:cs="宋体"/>
          <w:b w:val="0"/>
          <w:sz w:val="32"/>
          <w:szCs w:val="32"/>
        </w:rPr>
      </w:pPr>
      <w:bookmarkStart w:id="17" w:name="_Toc35393794"/>
      <w:bookmarkStart w:id="18" w:name="_Toc28359007"/>
      <w:bookmarkStart w:id="19" w:name="_Toc28359084"/>
      <w:bookmarkStart w:id="20" w:name="_Toc35393625"/>
      <w:r>
        <w:rPr>
          <w:rFonts w:hint="eastAsia" w:ascii="黑体" w:hAnsi="黑体" w:cs="宋体"/>
          <w:b w:val="0"/>
          <w:sz w:val="32"/>
          <w:szCs w:val="32"/>
        </w:rPr>
        <w:t>五、公告期限</w:t>
      </w:r>
      <w:bookmarkEnd w:id="17"/>
      <w:bookmarkEnd w:id="18"/>
      <w:bookmarkEnd w:id="19"/>
      <w:bookmarkEnd w:id="20"/>
    </w:p>
    <w:p>
      <w:pPr>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自本公告发布之日起</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w:t>
      </w:r>
    </w:p>
    <w:p>
      <w:pPr>
        <w:pStyle w:val="4"/>
        <w:pageBreakBefore w:val="0"/>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宋体"/>
          <w:b w:val="0"/>
          <w:sz w:val="32"/>
          <w:szCs w:val="32"/>
        </w:rPr>
      </w:pPr>
      <w:bookmarkStart w:id="21" w:name="_Toc35393795"/>
      <w:bookmarkStart w:id="22" w:name="_Toc35393626"/>
      <w:r>
        <w:rPr>
          <w:rFonts w:hint="eastAsia" w:ascii="黑体" w:hAnsi="黑体" w:cs="宋体"/>
          <w:b w:val="0"/>
          <w:sz w:val="32"/>
          <w:szCs w:val="32"/>
        </w:rPr>
        <w:t>六、其他补充事宜</w:t>
      </w:r>
      <w:bookmarkEnd w:id="21"/>
      <w:bookmarkEnd w:id="22"/>
    </w:p>
    <w:p>
      <w:pPr>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宋体"/>
          <w:sz w:val="28"/>
          <w:szCs w:val="28"/>
        </w:rPr>
        <w:t xml:space="preserve">   </w:t>
      </w:r>
      <w:r>
        <w:rPr>
          <w:rFonts w:hint="eastAsia" w:ascii="仿宋_GB2312" w:hAnsi="仿宋_GB2312" w:eastAsia="仿宋_GB2312" w:cs="仿宋_GB2312"/>
          <w:sz w:val="32"/>
          <w:szCs w:val="32"/>
          <w:lang w:val="en-US" w:eastAsia="zh-CN"/>
        </w:rPr>
        <w:t xml:space="preserve"> 采购单位</w:t>
      </w:r>
      <w:r>
        <w:rPr>
          <w:rFonts w:hint="eastAsia" w:ascii="仿宋_GB2312" w:hAnsi="仿宋_GB2312" w:eastAsia="仿宋_GB2312" w:cs="仿宋_GB2312"/>
          <w:sz w:val="32"/>
          <w:szCs w:val="32"/>
        </w:rPr>
        <w:t>有权对中标供应商就本项目要求提供的相关证明资料（原件）进行审查。供应商提供虚假资料被查实的，则可能面临被取消本项目中标资格</w:t>
      </w:r>
      <w:r>
        <w:rPr>
          <w:rFonts w:hint="eastAsia" w:ascii="仿宋_GB2312" w:hAnsi="仿宋_GB2312" w:eastAsia="仿宋_GB2312" w:cs="仿宋_GB2312"/>
          <w:sz w:val="32"/>
          <w:szCs w:val="32"/>
          <w:lang w:eastAsia="zh-CN"/>
        </w:rPr>
        <w:t>。</w:t>
      </w:r>
      <w:bookmarkStart w:id="23" w:name="_Toc35393796"/>
      <w:bookmarkStart w:id="24" w:name="_Toc35393627"/>
      <w:bookmarkStart w:id="25" w:name="_Toc28359008"/>
      <w:bookmarkStart w:id="26" w:name="_Toc28359085"/>
    </w:p>
    <w:p>
      <w:pPr>
        <w:pStyle w:val="4"/>
        <w:pageBreakBefore w:val="0"/>
        <w:widowControl/>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eastAsia="黑体"/>
          <w:b w:val="0"/>
          <w:sz w:val="32"/>
          <w:szCs w:val="32"/>
          <w:lang w:eastAsia="zh-CN"/>
        </w:rPr>
      </w:pPr>
      <w:r>
        <w:rPr>
          <w:rFonts w:hint="eastAsia" w:ascii="黑体" w:hAnsi="黑体" w:cs="宋体"/>
          <w:b w:val="0"/>
          <w:sz w:val="32"/>
          <w:szCs w:val="32"/>
        </w:rPr>
        <w:t>七、对本次采购提出询问，请按</w:t>
      </w:r>
      <w:r>
        <w:rPr>
          <w:rFonts w:ascii="黑体" w:hAnsi="黑体" w:cs="宋体"/>
          <w:b w:val="0"/>
          <w:sz w:val="32"/>
          <w:szCs w:val="32"/>
        </w:rPr>
        <w:t>以下方式</w:t>
      </w:r>
      <w:r>
        <w:rPr>
          <w:rFonts w:hint="eastAsia" w:ascii="黑体" w:hAnsi="黑体" w:cs="宋体"/>
          <w:b w:val="0"/>
          <w:sz w:val="32"/>
          <w:szCs w:val="32"/>
        </w:rPr>
        <w:t>联系</w:t>
      </w:r>
      <w:bookmarkEnd w:id="23"/>
      <w:bookmarkEnd w:id="24"/>
      <w:bookmarkEnd w:id="25"/>
      <w:bookmarkEnd w:id="26"/>
      <w:r>
        <w:rPr>
          <w:rFonts w:hint="eastAsia" w:ascii="黑体" w:hAnsi="黑体" w:cs="宋体"/>
          <w:b w:val="0"/>
          <w:sz w:val="32"/>
          <w:szCs w:val="32"/>
          <w:lang w:eastAsia="zh-CN"/>
        </w:rPr>
        <w:t>：</w:t>
      </w:r>
    </w:p>
    <w:p>
      <w:pPr>
        <w:pageBreakBefore w:val="0"/>
        <w:kinsoku/>
        <w:wordWrap/>
        <w:overflowPunct/>
        <w:topLinePunct w:val="0"/>
        <w:autoSpaceDE/>
        <w:autoSpaceDN/>
        <w:bidi w:val="0"/>
        <w:adjustRightInd/>
        <w:snapToGrid/>
        <w:spacing w:beforeAutospacing="0" w:line="560" w:lineRule="exact"/>
        <w:ind w:left="876" w:leftChars="0" w:hanging="35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lang w:val="en-US" w:eastAsia="zh-CN"/>
        </w:rPr>
        <w:t>冯工</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val="en-US" w:eastAsia="zh-CN"/>
        </w:rPr>
        <w:t xml:space="preserve">                </w:t>
      </w:r>
    </w:p>
    <w:p>
      <w:pPr>
        <w:pageBreakBefore w:val="0"/>
        <w:kinsoku/>
        <w:wordWrap/>
        <w:overflowPunct/>
        <w:topLinePunct w:val="0"/>
        <w:autoSpaceDE/>
        <w:autoSpaceDN/>
        <w:bidi w:val="0"/>
        <w:adjustRightInd/>
        <w:snapToGrid/>
        <w:spacing w:line="560" w:lineRule="exact"/>
        <w:ind w:left="876" w:leftChars="0" w:hanging="350" w:firstLineChars="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联系方</w:t>
      </w:r>
      <w:r>
        <w:rPr>
          <w:rFonts w:hint="eastAsia" w:ascii="仿宋_GB2312" w:hAnsi="仿宋_GB2312" w:eastAsia="仿宋_GB2312" w:cs="仿宋_GB2312"/>
          <w:sz w:val="32"/>
          <w:szCs w:val="32"/>
          <w:u w:val="none"/>
        </w:rPr>
        <w:t>式</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0755-85211046</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w:t>
      </w:r>
    </w:p>
    <w:p>
      <w:pPr>
        <w:pageBreakBefore w:val="0"/>
        <w:kinsoku/>
        <w:wordWrap/>
        <w:overflowPunct/>
        <w:topLinePunct w:val="0"/>
        <w:autoSpaceDE/>
        <w:autoSpaceDN/>
        <w:bidi w:val="0"/>
        <w:adjustRightInd/>
        <w:snapToGrid/>
        <w:spacing w:line="560" w:lineRule="exact"/>
        <w:ind w:left="876" w:leftChars="0" w:hanging="350" w:firstLineChars="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联系地址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坪山区碧岭街道汤坑社区坪山首座6楼</w:t>
      </w:r>
      <w:r>
        <w:rPr>
          <w:rFonts w:hint="eastAsia" w:ascii="仿宋_GB2312" w:hAnsi="仿宋_GB2312" w:eastAsia="仿宋_GB2312" w:cs="仿宋_GB2312"/>
          <w:sz w:val="32"/>
          <w:szCs w:val="32"/>
          <w:u w:val="none"/>
        </w:rPr>
        <w:t>　　　</w:t>
      </w:r>
    </w:p>
    <w:p>
      <w:pPr>
        <w:pageBreakBefore w:val="0"/>
        <w:widowControl w:val="0"/>
        <w:kinsoku/>
        <w:wordWrap/>
        <w:overflowPunct/>
        <w:topLinePunct w:val="0"/>
        <w:autoSpaceDE/>
        <w:autoSpaceDN/>
        <w:bidi w:val="0"/>
        <w:adjustRightInd w:val="0"/>
        <w:snapToGrid/>
        <w:spacing w:line="560" w:lineRule="exact"/>
        <w:jc w:val="righ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深圳市坪山区碧岭街道办事处</w:t>
      </w:r>
    </w:p>
    <w:p>
      <w:pPr>
        <w:pageBreakBefore w:val="0"/>
        <w:kinsoku/>
        <w:wordWrap/>
        <w:overflowPunct/>
        <w:topLinePunct w:val="0"/>
        <w:autoSpaceDE/>
        <w:autoSpaceDN/>
        <w:bidi w:val="0"/>
        <w:adjustRightInd/>
        <w:snapToGrid/>
        <w:spacing w:line="560" w:lineRule="exact"/>
        <w:ind w:left="876" w:leftChars="0" w:hanging="350" w:firstLine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2021年10月13日</w:t>
      </w:r>
      <w:bookmarkStart w:id="27" w:name="_GoBack"/>
      <w:bookmarkEnd w:id="27"/>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C1E0"/>
    <w:multiLevelType w:val="singleLevel"/>
    <w:tmpl w:val="7380C1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E74AF"/>
    <w:rsid w:val="008C3A04"/>
    <w:rsid w:val="073A461F"/>
    <w:rsid w:val="0E265419"/>
    <w:rsid w:val="0FF80B74"/>
    <w:rsid w:val="11892B72"/>
    <w:rsid w:val="11BF02CC"/>
    <w:rsid w:val="125A3B87"/>
    <w:rsid w:val="19CB4E1C"/>
    <w:rsid w:val="1B006132"/>
    <w:rsid w:val="1CDB4E98"/>
    <w:rsid w:val="1DF36AB2"/>
    <w:rsid w:val="1FC41BAC"/>
    <w:rsid w:val="28601400"/>
    <w:rsid w:val="2A4973C1"/>
    <w:rsid w:val="2ABB43F9"/>
    <w:rsid w:val="2C007B3D"/>
    <w:rsid w:val="2D714676"/>
    <w:rsid w:val="317C3344"/>
    <w:rsid w:val="355476A8"/>
    <w:rsid w:val="37B349B8"/>
    <w:rsid w:val="37F6209A"/>
    <w:rsid w:val="3B3E74AF"/>
    <w:rsid w:val="3DE671C9"/>
    <w:rsid w:val="44521608"/>
    <w:rsid w:val="48653A1E"/>
    <w:rsid w:val="5006093A"/>
    <w:rsid w:val="506158C4"/>
    <w:rsid w:val="56360506"/>
    <w:rsid w:val="569F32B0"/>
    <w:rsid w:val="574A0DA0"/>
    <w:rsid w:val="5F2A1DD6"/>
    <w:rsid w:val="65D3488C"/>
    <w:rsid w:val="6C3F2AFD"/>
    <w:rsid w:val="6FA251B8"/>
    <w:rsid w:val="71716374"/>
    <w:rsid w:val="73E35F54"/>
    <w:rsid w:val="7421353D"/>
    <w:rsid w:val="7A9D7813"/>
    <w:rsid w:val="7CE8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character" w:styleId="6">
    <w:name w:val="annotation reference"/>
    <w:basedOn w:val="5"/>
    <w:semiHidden/>
    <w:unhideWhenUsed/>
    <w:qFormat/>
    <w:uiPriority w:val="99"/>
    <w:rPr>
      <w:sz w:val="21"/>
      <w:szCs w:val="21"/>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2021-01-29T02:53:00Z</dcterms:created>
  <dc:creator>Administrator</dc:creator>
  <cp:lastModifiedBy>CT</cp:lastModifiedBy>
  <dcterms:modified xsi:type="dcterms:W3CDTF">2021-10-13T07:52:55Z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