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jc w:val="center"/>
        <w:outlineLvl w:val="0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2018年坪山区社会采购代理机构</w:t>
      </w:r>
    </w:p>
    <w:p>
      <w:pPr>
        <w:spacing w:line="560" w:lineRule="exact"/>
        <w:jc w:val="center"/>
        <w:outlineLvl w:val="0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组织实施的项目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9"/>
        <w:gridCol w:w="5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货物类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0" w:firstLineChars="10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不在政府集中采购目录内的货物类政府采购项目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　A1006医疗设备、器械、A1019教学设备类项目预算金额20万元（含）以上、300万元以下。其他货物类项目预算金额50万元（含）以上、300万元以下。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服务类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0" w:firstLineChars="10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不在政府集中采购目录内的服务类政府采购项目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　C1000物业管理、C1400绿地管养、C1500土地储备管理类项目预算金额20万元（含）以上、300万元以下。 C1900课题研究类项目预算金额30万元（含）以上的、300万元以下。其他服务类项目预算金额50万元（含）以上、300万元以下。</w:t>
            </w:r>
          </w:p>
        </w:tc>
      </w:tr>
    </w:tbl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说明：1.以上项目，采购人均应编报政府采购预算；</w:t>
      </w:r>
    </w:p>
    <w:p>
      <w:pPr>
        <w:autoSpaceDE w:val="0"/>
        <w:autoSpaceDN w:val="0"/>
        <w:adjustRightInd w:val="0"/>
        <w:ind w:left="1638" w:leftChars="78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以上项目，按照规定委托社会采购代理机构实</w:t>
      </w:r>
      <w:bookmarkStart w:id="0" w:name="_GoBack"/>
      <w:bookmarkEnd w:id="0"/>
      <w:r>
        <w:rPr>
          <w:rFonts w:hint="eastAsia" w:ascii="仿宋_GB2312" w:eastAsia="仿宋_GB2312" w:cs="仿宋_GB2312"/>
          <w:kern w:val="0"/>
          <w:sz w:val="32"/>
          <w:szCs w:val="32"/>
        </w:rPr>
        <w:t>施采购，但其中保密、应急以及重大采购项目应当由政府集中采购机构实施。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71771"/>
    <w:rsid w:val="5D071771"/>
    <w:rsid w:val="6C885428"/>
    <w:rsid w:val="6D535020"/>
    <w:rsid w:val="7244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2018-06-14T06:14:00Z</dcterms:created>
  <dc:creator>果果等海</dc:creator>
  <cp:lastModifiedBy>果果等海</cp:lastModifiedBy>
  <dcterms:modified xsi:type="dcterms:W3CDTF">2018-06-14T06:16:30Z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